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E4D" w:rsidRPr="00490C7C" w:rsidRDefault="008A0E4D" w:rsidP="00490C7C">
      <w:pPr>
        <w:spacing w:before="100" w:beforeAutospacing="1" w:after="0"/>
        <w:ind w:left="850" w:right="8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TEST NR. 3</w:t>
      </w:r>
      <w:r w:rsidRPr="00490C7C">
        <w:rPr>
          <w:rFonts w:ascii="Times New Roman" w:hAnsi="Times New Roman" w:cs="Times New Roman"/>
          <w:b/>
          <w:bCs/>
          <w:sz w:val="24"/>
          <w:szCs w:val="24"/>
        </w:rPr>
        <w:t xml:space="preserve"> – LICEU</w:t>
      </w:r>
    </w:p>
    <w:p w:rsidR="008A0E4D" w:rsidRDefault="008A0E4D" w:rsidP="007866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 xml:space="preserve">1.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Ce reprezintă intensitatea situaţiei de urgenţă?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a) viteza de perturbare a fenomenelor distructive şi gradul de evoluţie a stării de normalitate;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b) viteza de evoluţie a fenomenelor distructive şi gradul de perturbare a stării de normalitate;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c) gradul de perturbare a fenomenelor distructive şi viteza de evoluţie a stării de normalitate.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2. Ce reprezintă evacuarea ?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a) măsură de protecţie luată în cazul ameninţării iminente, stării de alertă ori producerii unei situaţii de urgenţă;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b) intervenţia operativă în cazul ameninţării iminente, stării de alertă ori producerii unei situaţii de urgenţă;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c) măsură de prevenire luată în cazul ameninţării iminente, stării de alertă ori producerii unei situaţii de urgenţă.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3.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 xml:space="preserve">Unde se constituie şi cine conduce comitetele locale pentru situaţii de urgenţă?  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a) la nivelul municipiilor, oraşelor, sectoarelor municipiului Bucureşti, precum şi al comunelor se constituie, sub conducerea prefectului, comitete locale pentru situaţii de urgenţă, denumite în continuare comitete locale;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b) la nivelul municipiilor, oraşelor, sectoarelor municipiului Bucureşti, precum şi al comunelor se constituie, sub conducerea primarului, comitete locale pentru situaţii de urgenţă, denumite în continuare comitete locale;</w:t>
      </w: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c) la nivelul municipiilor, oraşelor, sectoarelor municipiului Bucureşti, precum şi al comunelor se constituie, sub conducerea primului-ministru, comitete locale pentru situaţii de urgenţă, denumite în continuare comitete locale.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Pr="00CD535C" w:rsidRDefault="008A0E4D" w:rsidP="00CD535C">
      <w:pPr>
        <w:tabs>
          <w:tab w:val="left" w:pos="935"/>
        </w:tabs>
        <w:spacing w:after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 xml:space="preserve">4.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Reprezintă o situaţie de urgenţă:</w:t>
      </w:r>
    </w:p>
    <w:p w:rsidR="008A0E4D" w:rsidRPr="00CD535C" w:rsidRDefault="008A0E4D" w:rsidP="00CD535C">
      <w:pPr>
        <w:tabs>
          <w:tab w:val="left" w:pos="935"/>
        </w:tabs>
        <w:spacing w:after="0"/>
        <w:ind w:firstLine="561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D535C">
        <w:rPr>
          <w:rFonts w:ascii="Times New Roman" w:hAnsi="Times New Roman" w:cs="Times New Roman"/>
          <w:sz w:val="24"/>
          <w:szCs w:val="24"/>
          <w:lang w:val="fr-FR"/>
        </w:rPr>
        <w:t>a) tulburarea de memorie;</w:t>
      </w:r>
    </w:p>
    <w:p w:rsidR="008A0E4D" w:rsidRPr="00CD535C" w:rsidRDefault="008A0E4D" w:rsidP="00CD535C">
      <w:pPr>
        <w:tabs>
          <w:tab w:val="left" w:pos="935"/>
        </w:tabs>
        <w:spacing w:after="0"/>
        <w:ind w:firstLine="561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CD535C">
        <w:rPr>
          <w:rFonts w:ascii="Times New Roman" w:hAnsi="Times New Roman" w:cs="Times New Roman"/>
          <w:sz w:val="24"/>
          <w:szCs w:val="24"/>
          <w:lang w:val="fr-FR"/>
        </w:rPr>
        <w:t>b) consumul de alcool;</w:t>
      </w:r>
    </w:p>
    <w:p w:rsidR="008A0E4D" w:rsidRPr="00A92B98" w:rsidRDefault="008A0E4D" w:rsidP="00CD535C">
      <w:pPr>
        <w:tabs>
          <w:tab w:val="left" w:pos="935"/>
        </w:tabs>
        <w:spacing w:after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A92B98">
        <w:rPr>
          <w:rFonts w:ascii="Times New Roman" w:hAnsi="Times New Roman" w:cs="Times New Roman"/>
          <w:sz w:val="24"/>
          <w:szCs w:val="24"/>
          <w:lang w:val="fr-FR"/>
        </w:rPr>
        <w:t>c) accidentul de circulaţie soldat cu victime sau cu persoane blocate în autovehicule.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5.</w:t>
      </w: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Semnul distinctiv internaţional de protecţie civilă este :</w:t>
      </w:r>
    </w:p>
    <w:p w:rsidR="008A0E4D" w:rsidRPr="00CD535C" w:rsidRDefault="008A0E4D" w:rsidP="00CD535C">
      <w:pPr>
        <w:numPr>
          <w:ilvl w:val="1"/>
          <w:numId w:val="2"/>
        </w:numPr>
        <w:tabs>
          <w:tab w:val="left" w:pos="748"/>
        </w:tabs>
        <w:spacing w:after="0" w:line="240" w:lineRule="auto"/>
        <w:ind w:left="187" w:firstLine="374"/>
        <w:jc w:val="both"/>
        <w:rPr>
          <w:rFonts w:ascii="Times New Roman" w:hAnsi="Times New Roman" w:cs="Times New Roman"/>
          <w:color w:val="FF0000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un triunghi echilateral albastru pe fond portocaliu;</w:t>
      </w: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b) un triunghi echilateral </w:t>
      </w:r>
      <w:bookmarkStart w:id="0" w:name="_GoBack"/>
      <w:bookmarkEnd w:id="0"/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verde pe fond portocaliu;</w:t>
      </w: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c) un triunghi echilateral portocaliu pe fond albastru.</w:t>
      </w:r>
    </w:p>
    <w:p w:rsidR="008A0E4D" w:rsidRPr="00CD535C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Pr="00CD535C" w:rsidRDefault="008A0E4D" w:rsidP="00CD535C">
      <w:pPr>
        <w:pStyle w:val="NormalWeb"/>
        <w:tabs>
          <w:tab w:val="left" w:pos="935"/>
        </w:tabs>
        <w:spacing w:after="0"/>
        <w:ind w:firstLine="561"/>
        <w:jc w:val="both"/>
        <w:rPr>
          <w:b/>
          <w:bCs/>
          <w:lang w:val="it-IT"/>
        </w:rPr>
      </w:pPr>
      <w:r>
        <w:rPr>
          <w:b/>
          <w:bCs/>
          <w:lang w:val="ro-RO" w:eastAsia="ro-RO"/>
        </w:rPr>
        <w:t xml:space="preserve">6. </w:t>
      </w:r>
      <w:r w:rsidRPr="00CD535C">
        <w:rPr>
          <w:rFonts w:ascii="Times New Roman" w:hAnsi="Times New Roman"/>
          <w:b/>
          <w:bCs/>
          <w:lang w:val="it-IT"/>
        </w:rPr>
        <w:t>Constituie măsuri elementare de</w:t>
      </w:r>
      <w:r w:rsidRPr="00CD535C">
        <w:rPr>
          <w:b/>
          <w:bCs/>
          <w:lang w:val="it-IT"/>
        </w:rPr>
        <w:t xml:space="preserve"> </w:t>
      </w:r>
      <w:r w:rsidRPr="00CD535C">
        <w:rPr>
          <w:b/>
          <w:bCs/>
          <w:u w:val="single"/>
          <w:lang w:val="it-IT"/>
        </w:rPr>
        <w:t xml:space="preserve">Prevenire </w:t>
      </w:r>
      <w:r w:rsidRPr="00CD535C">
        <w:rPr>
          <w:rFonts w:ascii="Times New Roman" w:hAnsi="Times New Roman"/>
          <w:b/>
          <w:bCs/>
          <w:u w:val="single"/>
          <w:lang w:val="it-IT"/>
        </w:rPr>
        <w:t>a bolilor infecto-contagioase în timpul inundaţiilor</w:t>
      </w:r>
      <w:r w:rsidRPr="00CD535C">
        <w:rPr>
          <w:b/>
          <w:bCs/>
          <w:lang w:val="it-IT"/>
        </w:rPr>
        <w:t xml:space="preserve">: </w:t>
      </w: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 xml:space="preserve">a) să se consume alimente şi apă numai din surse sigure; </w:t>
      </w:r>
    </w:p>
    <w:p w:rsidR="008A0E4D" w:rsidRPr="00CD535C" w:rsidRDefault="008A0E4D" w:rsidP="00CD535C">
      <w:pPr>
        <w:tabs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 xml:space="preserve">b) să se consume doar apă, din orice surse; 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it-IT" w:eastAsia="ro-RO"/>
        </w:rPr>
        <w:t>c)</w:t>
      </w:r>
      <w:r w:rsidRPr="00CD535C">
        <w:rPr>
          <w:rFonts w:ascii="Times New Roman" w:hAnsi="Times New Roman" w:cs="Times New Roman"/>
          <w:color w:val="FF0000"/>
          <w:sz w:val="24"/>
          <w:szCs w:val="24"/>
          <w:lang w:val="it-IT" w:eastAsia="ro-RO"/>
        </w:rPr>
        <w:t xml:space="preserve"> </w:t>
      </w:r>
      <w:r w:rsidRPr="00CD535C">
        <w:rPr>
          <w:rFonts w:ascii="Times New Roman" w:hAnsi="Times New Roman" w:cs="Times New Roman"/>
          <w:sz w:val="24"/>
          <w:szCs w:val="24"/>
          <w:lang w:val="it-IT" w:eastAsia="ro-RO"/>
        </w:rPr>
        <w:t>să nu se consume alimente şi apă, chiar dacă provin din surse sigure</w:t>
      </w:r>
    </w:p>
    <w:p w:rsidR="008A0E4D" w:rsidRDefault="008A0E4D" w:rsidP="00CD535C">
      <w:pPr>
        <w:tabs>
          <w:tab w:val="left" w:pos="935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 w:eastAsia="ro-RO"/>
        </w:rPr>
      </w:pPr>
    </w:p>
    <w:p w:rsidR="008A0E4D" w:rsidRPr="00CD535C" w:rsidRDefault="008A0E4D" w:rsidP="00CD535C">
      <w:pPr>
        <w:pStyle w:val="NormalWeb"/>
        <w:tabs>
          <w:tab w:val="left" w:pos="935"/>
        </w:tabs>
        <w:spacing w:after="0"/>
        <w:ind w:firstLine="561"/>
        <w:jc w:val="both"/>
        <w:rPr>
          <w:b/>
          <w:bCs/>
          <w:lang w:val="it-IT"/>
        </w:rPr>
      </w:pPr>
      <w:r w:rsidRPr="00CD535C">
        <w:rPr>
          <w:b/>
          <w:bCs/>
          <w:lang w:val="it-IT" w:eastAsia="ro-RO"/>
        </w:rPr>
        <w:t>7.</w:t>
      </w:r>
      <w:r w:rsidRPr="00CD535C">
        <w:rPr>
          <w:rFonts w:ascii="Times New Roman" w:hAnsi="Times New Roman"/>
          <w:b/>
          <w:bCs/>
          <w:lang w:val="it-IT"/>
        </w:rPr>
        <w:t xml:space="preserve"> Ce să faceţ</w:t>
      </w:r>
      <w:r w:rsidRPr="00CD535C">
        <w:rPr>
          <w:b/>
          <w:bCs/>
          <w:lang w:val="it-IT"/>
        </w:rPr>
        <w:t>i în timpul unui cutremur:</w:t>
      </w:r>
    </w:p>
    <w:p w:rsidR="008A0E4D" w:rsidRPr="00CD535C" w:rsidRDefault="008A0E4D" w:rsidP="00CD535C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</w:rPr>
        <w:t xml:space="preserve">a) dacă vă aflaţi într-o clădire, încetaţi lucrul şi fugiţi afară; </w:t>
      </w:r>
    </w:p>
    <w:p w:rsidR="008A0E4D" w:rsidRPr="00CD535C" w:rsidRDefault="008A0E4D" w:rsidP="00CD535C">
      <w:pPr>
        <w:tabs>
          <w:tab w:val="left" w:pos="748"/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</w:rPr>
        <w:t>b) dacă vă aflaţi în interiorul unei clădiri, adapostiţi-vă sub o masă rezistentă sau staţi aproape de un perete interior; staţi departe de ferestre, uşi sau pereţi, orice obiecte care ar putea cădea;</w:t>
      </w:r>
    </w:p>
    <w:p w:rsidR="008A0E4D" w:rsidRPr="00A92B98" w:rsidRDefault="008A0E4D" w:rsidP="00CD535C">
      <w:pPr>
        <w:tabs>
          <w:tab w:val="left" w:pos="748"/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 xml:space="preserve">c) dacă sunteţi afară, intraţi de urgenţă </w:t>
      </w:r>
      <w:r w:rsidRPr="00CD535C">
        <w:rPr>
          <w:rFonts w:ascii="Times New Roman" w:hAnsi="Times New Roman" w:cs="Times New Roman"/>
          <w:sz w:val="24"/>
          <w:szCs w:val="24"/>
        </w:rPr>
        <w:t>în interiorul unei clădiri</w:t>
      </w:r>
      <w:r w:rsidRPr="00CD535C">
        <w:rPr>
          <w:rFonts w:ascii="Times New Roman" w:hAnsi="Times New Roman" w:cs="Times New Roman"/>
          <w:sz w:val="24"/>
          <w:szCs w:val="24"/>
          <w:lang w:val="it-IT"/>
        </w:rPr>
        <w:t xml:space="preserve"> pentru a vă adăposti. </w:t>
      </w:r>
    </w:p>
    <w:p w:rsidR="008A0E4D" w:rsidRDefault="008A0E4D" w:rsidP="00CD535C">
      <w:pPr>
        <w:tabs>
          <w:tab w:val="left" w:pos="748"/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A0E4D" w:rsidRPr="00CD535C" w:rsidRDefault="008A0E4D" w:rsidP="00CD535C">
      <w:pPr>
        <w:tabs>
          <w:tab w:val="left" w:pos="935"/>
        </w:tabs>
        <w:spacing w:after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 xml:space="preserve">8.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it-IT"/>
        </w:rPr>
        <w:t>Care sunt semnele care anunţă iminenţa unei alunecări de teren</w:t>
      </w:r>
      <w:r w:rsidRPr="00CD535C"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it-IT"/>
        </w:rPr>
        <w:t xml:space="preserve"> </w:t>
      </w:r>
    </w:p>
    <w:p w:rsidR="008A0E4D" w:rsidRPr="00CD535C" w:rsidRDefault="008A0E4D" w:rsidP="00CD535C">
      <w:pPr>
        <w:numPr>
          <w:ilvl w:val="0"/>
          <w:numId w:val="3"/>
        </w:numPr>
        <w:tabs>
          <w:tab w:val="clear" w:pos="720"/>
          <w:tab w:val="num" w:pos="935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>uşile şi ferestrele casei se blochează mereu;</w:t>
      </w:r>
    </w:p>
    <w:p w:rsidR="008A0E4D" w:rsidRPr="00CD535C" w:rsidRDefault="008A0E4D" w:rsidP="00CD535C">
      <w:pPr>
        <w:numPr>
          <w:ilvl w:val="0"/>
          <w:numId w:val="3"/>
        </w:numPr>
        <w:tabs>
          <w:tab w:val="clear" w:pos="720"/>
          <w:tab w:val="num" w:pos="935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CD535C">
        <w:rPr>
          <w:rFonts w:ascii="Times New Roman" w:hAnsi="Times New Roman" w:cs="Times New Roman"/>
          <w:sz w:val="24"/>
          <w:szCs w:val="24"/>
          <w:lang w:val="it-IT"/>
        </w:rPr>
        <w:t>tencuiala cade de pe pereţi;</w:t>
      </w:r>
    </w:p>
    <w:p w:rsidR="008A0E4D" w:rsidRPr="00A92B98" w:rsidRDefault="008A0E4D" w:rsidP="00CD535C">
      <w:pPr>
        <w:numPr>
          <w:ilvl w:val="0"/>
          <w:numId w:val="3"/>
        </w:numPr>
        <w:tabs>
          <w:tab w:val="clear" w:pos="720"/>
          <w:tab w:val="num" w:pos="935"/>
        </w:tabs>
        <w:spacing w:after="0" w:line="240" w:lineRule="auto"/>
        <w:ind w:left="0"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A92B98">
        <w:rPr>
          <w:rFonts w:ascii="Times New Roman" w:hAnsi="Times New Roman" w:cs="Times New Roman"/>
          <w:sz w:val="24"/>
          <w:szCs w:val="24"/>
          <w:lang w:val="it-IT"/>
        </w:rPr>
        <w:t>pereţii exteriori şi scările se depărtează de clădire;</w:t>
      </w:r>
    </w:p>
    <w:p w:rsidR="008A0E4D" w:rsidRPr="00CD535C" w:rsidRDefault="008A0E4D" w:rsidP="00CD535C">
      <w:pPr>
        <w:tabs>
          <w:tab w:val="left" w:pos="748"/>
          <w:tab w:val="left" w:pos="935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A0E4D" w:rsidRPr="00CD535C" w:rsidRDefault="008A0E4D" w:rsidP="00CD535C">
      <w:pPr>
        <w:pStyle w:val="BodyTextIndent"/>
        <w:tabs>
          <w:tab w:val="left" w:pos="720"/>
          <w:tab w:val="left" w:pos="935"/>
          <w:tab w:val="left" w:pos="1980"/>
        </w:tabs>
        <w:spacing w:after="0"/>
        <w:ind w:left="0" w:firstLine="561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sz w:val="24"/>
          <w:szCs w:val="24"/>
          <w:lang w:val="it-IT" w:eastAsia="ro-RO"/>
        </w:rPr>
        <w:t xml:space="preserve">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it-IT" w:eastAsia="ro-RO"/>
        </w:rPr>
        <w:t>9.</w:t>
      </w:r>
      <w:r>
        <w:rPr>
          <w:rFonts w:ascii="Times New Roman" w:hAnsi="Times New Roman" w:cs="Times New Roman"/>
          <w:sz w:val="24"/>
          <w:szCs w:val="24"/>
          <w:lang w:val="it-IT" w:eastAsia="ro-RO"/>
        </w:rPr>
        <w:t xml:space="preserve"> </w:t>
      </w:r>
      <w:r w:rsidRPr="00CD535C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Concursul cu tematică de protecţie civilă are caracter educativ, tehnico-aplicativ şi sportiv şi se organizează anual cu elevii, distinct pe următoarele niveluri:</w:t>
      </w:r>
    </w:p>
    <w:p w:rsidR="008A0E4D" w:rsidRPr="00CD535C" w:rsidRDefault="008A0E4D" w:rsidP="00CD535C">
      <w:pPr>
        <w:numPr>
          <w:ilvl w:val="0"/>
          <w:numId w:val="4"/>
        </w:numPr>
        <w:tabs>
          <w:tab w:val="left" w:pos="720"/>
          <w:tab w:val="left" w:pos="935"/>
          <w:tab w:val="left" w:pos="1980"/>
        </w:tabs>
        <w:spacing w:after="0" w:line="240" w:lineRule="auto"/>
        <w:ind w:hanging="519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ciclul gimnazial - clasele V–VIII;</w:t>
      </w:r>
    </w:p>
    <w:p w:rsidR="008A0E4D" w:rsidRDefault="008A0E4D" w:rsidP="00CD535C">
      <w:pPr>
        <w:numPr>
          <w:ilvl w:val="0"/>
          <w:numId w:val="4"/>
        </w:numPr>
        <w:tabs>
          <w:tab w:val="left" w:pos="720"/>
          <w:tab w:val="left" w:pos="935"/>
          <w:tab w:val="left" w:pos="1980"/>
        </w:tabs>
        <w:spacing w:after="0" w:line="240" w:lineRule="auto"/>
        <w:ind w:hanging="519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ciclul liceal - clasele IX - XII;</w:t>
      </w:r>
    </w:p>
    <w:p w:rsidR="008A0E4D" w:rsidRPr="00CD535C" w:rsidRDefault="008A0E4D" w:rsidP="00CD535C">
      <w:pPr>
        <w:numPr>
          <w:ilvl w:val="0"/>
          <w:numId w:val="4"/>
        </w:numPr>
        <w:tabs>
          <w:tab w:val="left" w:pos="720"/>
          <w:tab w:val="left" w:pos="935"/>
          <w:tab w:val="left" w:pos="1980"/>
        </w:tabs>
        <w:spacing w:after="0" w:line="240" w:lineRule="auto"/>
        <w:ind w:hanging="519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CD535C">
        <w:rPr>
          <w:rFonts w:ascii="Times New Roman" w:hAnsi="Times New Roman" w:cs="Times New Roman"/>
          <w:sz w:val="24"/>
          <w:szCs w:val="24"/>
          <w:lang w:val="ro-RO" w:eastAsia="ro-RO"/>
        </w:rPr>
        <w:t>ciclul primar – I – IV</w:t>
      </w:r>
    </w:p>
    <w:p w:rsidR="008A0E4D" w:rsidRDefault="008A0E4D" w:rsidP="00CD5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Pr="00652481" w:rsidRDefault="008A0E4D" w:rsidP="00652481">
      <w:pPr>
        <w:pStyle w:val="BodyTextIndent"/>
        <w:tabs>
          <w:tab w:val="left" w:pos="935"/>
          <w:tab w:val="left" w:pos="1800"/>
        </w:tabs>
        <w:ind w:left="0" w:firstLine="567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48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Echipele de concurs, pentru ciclul liceal, pot fi constituite din băieţi, mixte sau din fete, elevii având vârsta cuprinsă între 15 şi 18 ani împliniţi: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a) până la data desfăşurării concursului;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b) în anul calendaristic desfăşurării concursului;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c) în anul şcolar desfăşurării concursului.</w:t>
      </w:r>
    </w:p>
    <w:p w:rsidR="008A0E4D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</w:p>
    <w:p w:rsidR="008A0E4D" w:rsidRPr="00E47D3C" w:rsidRDefault="008A0E4D" w:rsidP="00652481">
      <w:pPr>
        <w:pStyle w:val="BodyTextIndent3"/>
        <w:tabs>
          <w:tab w:val="left" w:pos="935"/>
          <w:tab w:val="left" w:pos="1800"/>
        </w:tabs>
        <w:spacing w:after="0"/>
        <w:ind w:left="0" w:firstLine="561"/>
        <w:jc w:val="both"/>
        <w:rPr>
          <w:b/>
          <w:bCs/>
          <w:sz w:val="20"/>
          <w:szCs w:val="20"/>
        </w:rPr>
      </w:pPr>
      <w:r w:rsidRPr="00652481">
        <w:rPr>
          <w:b/>
          <w:bCs/>
          <w:sz w:val="24"/>
          <w:szCs w:val="24"/>
          <w:lang w:eastAsia="ro-RO"/>
        </w:rPr>
        <w:t>11.</w:t>
      </w:r>
      <w:r>
        <w:rPr>
          <w:sz w:val="24"/>
          <w:szCs w:val="24"/>
          <w:lang w:eastAsia="ro-RO"/>
        </w:rPr>
        <w:t xml:space="preserve"> </w:t>
      </w:r>
      <w:r w:rsidRPr="009961D0">
        <w:rPr>
          <w:b/>
          <w:bCs/>
          <w:sz w:val="24"/>
          <w:szCs w:val="24"/>
        </w:rPr>
        <w:t>Proba teoretică are ca scop verificarea cunoştinţelor acumulate prin parcurgerea tematicii specifice prevăzută în protocolul încheiat între Ministerul Administraţiei şi Internelor şi Ministerul Educaţiei, Cercetării şi Tineretului şi constă î</w:t>
      </w:r>
      <w:r>
        <w:rPr>
          <w:b/>
          <w:bCs/>
          <w:sz w:val="24"/>
          <w:szCs w:val="24"/>
        </w:rPr>
        <w:t>n rezolvarea unui chestionar cu</w:t>
      </w:r>
      <w:r w:rsidRPr="009961D0">
        <w:rPr>
          <w:b/>
          <w:bCs/>
          <w:sz w:val="24"/>
          <w:szCs w:val="24"/>
        </w:rPr>
        <w:t>:</w:t>
      </w:r>
      <w:r w:rsidRPr="00E47D3C">
        <w:rPr>
          <w:b/>
          <w:bCs/>
          <w:color w:val="FF6600"/>
        </w:rPr>
        <w:t xml:space="preserve"> </w:t>
      </w:r>
    </w:p>
    <w:p w:rsidR="008A0E4D" w:rsidRPr="007D66DD" w:rsidRDefault="008A0E4D" w:rsidP="00652481">
      <w:pPr>
        <w:pStyle w:val="BodyTextIndent3"/>
        <w:tabs>
          <w:tab w:val="left" w:pos="935"/>
          <w:tab w:val="left" w:pos="1800"/>
        </w:tabs>
        <w:spacing w:after="0"/>
        <w:ind w:left="0" w:firstLine="561"/>
        <w:jc w:val="both"/>
        <w:rPr>
          <w:sz w:val="24"/>
          <w:szCs w:val="24"/>
        </w:rPr>
      </w:pPr>
      <w:r w:rsidRPr="007D66DD">
        <w:rPr>
          <w:sz w:val="24"/>
          <w:szCs w:val="24"/>
        </w:rPr>
        <w:t>a) 25 de întrebări;</w:t>
      </w:r>
    </w:p>
    <w:p w:rsidR="008A0E4D" w:rsidRPr="007D66DD" w:rsidRDefault="008A0E4D" w:rsidP="00652481">
      <w:pPr>
        <w:pStyle w:val="BodyTextIndent3"/>
        <w:tabs>
          <w:tab w:val="left" w:pos="935"/>
          <w:tab w:val="left" w:pos="1800"/>
        </w:tabs>
        <w:spacing w:after="0"/>
        <w:ind w:left="0" w:firstLine="561"/>
        <w:jc w:val="both"/>
        <w:rPr>
          <w:sz w:val="24"/>
          <w:szCs w:val="24"/>
        </w:rPr>
      </w:pPr>
      <w:r w:rsidRPr="007D66DD">
        <w:rPr>
          <w:sz w:val="24"/>
          <w:szCs w:val="24"/>
        </w:rPr>
        <w:t>b) 20 de întrebări;</w:t>
      </w:r>
    </w:p>
    <w:p w:rsidR="008A0E4D" w:rsidRPr="00A92B98" w:rsidRDefault="008A0E4D" w:rsidP="00652481">
      <w:pPr>
        <w:pStyle w:val="BodyTextIndent3"/>
        <w:tabs>
          <w:tab w:val="left" w:pos="935"/>
          <w:tab w:val="left" w:pos="1800"/>
        </w:tabs>
        <w:spacing w:after="0"/>
        <w:ind w:left="0" w:firstLine="561"/>
        <w:jc w:val="both"/>
        <w:rPr>
          <w:sz w:val="24"/>
          <w:szCs w:val="24"/>
        </w:rPr>
      </w:pPr>
      <w:r w:rsidRPr="00A92B98">
        <w:rPr>
          <w:sz w:val="24"/>
          <w:szCs w:val="24"/>
        </w:rPr>
        <w:t>c) 15 de întrebări.</w:t>
      </w:r>
    </w:p>
    <w:p w:rsidR="008A0E4D" w:rsidRPr="007D66DD" w:rsidRDefault="008A0E4D" w:rsidP="00652481">
      <w:pPr>
        <w:pStyle w:val="BodyTextIndent3"/>
        <w:tabs>
          <w:tab w:val="left" w:pos="935"/>
          <w:tab w:val="left" w:pos="1800"/>
        </w:tabs>
        <w:spacing w:after="0"/>
        <w:ind w:left="0" w:firstLine="561"/>
        <w:jc w:val="both"/>
        <w:rPr>
          <w:color w:val="FF0000"/>
          <w:sz w:val="24"/>
          <w:szCs w:val="24"/>
        </w:rPr>
      </w:pPr>
    </w:p>
    <w:p w:rsidR="008A0E4D" w:rsidRPr="00652481" w:rsidRDefault="008A0E4D" w:rsidP="00652481">
      <w:pPr>
        <w:tabs>
          <w:tab w:val="left" w:pos="935"/>
          <w:tab w:val="left" w:pos="1800"/>
        </w:tabs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12. La proba practică „Transportul asistat al unui accidentat aşezat pe targă pe distanţa de 50 m” se aplică penalizări în următoarele situaţii: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a)  neasigurarea sau asigurarea incompletă a victimei pe targă;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b) căderea la traversarea şanţului;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c) poziţionarea corectă a salvatorilor pe timpul transportului victimei.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</w:t>
      </w:r>
    </w:p>
    <w:p w:rsidR="008A0E4D" w:rsidRPr="00652481" w:rsidRDefault="008A0E4D" w:rsidP="00652481">
      <w:pPr>
        <w:tabs>
          <w:tab w:val="left" w:pos="935"/>
          <w:tab w:val="left" w:pos="1800"/>
        </w:tabs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b/>
          <w:bCs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48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Proba „Deplasarea cu masca pe figură într-un raion cu obstacole, contaminat” se desfăşoară pe o pistă (teren) amenajat(ă) cu dimensiunile de  20 m / 10 m, echipat(ă) cu jaloane şi sfori care marchează un traseu obligatoriu, împărţit(ă) în: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a) cinci culoare cu lăţimea de câte 3 m;</w:t>
      </w: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b) patru culoare cu lăţimea de câte 2 m;</w:t>
      </w:r>
    </w:p>
    <w:p w:rsidR="008A0E4D" w:rsidRPr="00A92B98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ro-RO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ro-RO" w:eastAsia="ro-RO"/>
        </w:rPr>
        <w:t>c) cinci culoare cu lăţimea de câte 2 m.</w:t>
      </w:r>
    </w:p>
    <w:p w:rsidR="008A0E4D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color w:val="FF0000"/>
          <w:sz w:val="24"/>
          <w:szCs w:val="24"/>
          <w:lang w:val="ro-RO" w:eastAsia="ro-RO"/>
        </w:rPr>
      </w:pPr>
    </w:p>
    <w:p w:rsidR="008A0E4D" w:rsidRPr="00652481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es-ES" w:eastAsia="ro-RO"/>
        </w:rPr>
      </w:pPr>
      <w:r w:rsidRPr="00652481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 xml:space="preserve">14. </w:t>
      </w:r>
      <w:r w:rsidRPr="00652481">
        <w:rPr>
          <w:rFonts w:ascii="Times New Roman" w:hAnsi="Times New Roman" w:cs="Times New Roman"/>
          <w:b/>
          <w:bCs/>
          <w:sz w:val="24"/>
          <w:szCs w:val="24"/>
          <w:lang w:val="es-ES" w:eastAsia="ro-RO"/>
        </w:rPr>
        <w:t>Localităţile/zonele din/în care se execută evacuarea în situaţii de urgenţă se stabilesc de comitetele pentru situaţii de urgenţă judeţene şi locale, cu avizul:</w:t>
      </w:r>
    </w:p>
    <w:p w:rsidR="008A0E4D" w:rsidRPr="00652481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es-ES" w:eastAsia="ro-RO"/>
        </w:rPr>
        <w:t>a) Comitetului Naţional pentru Situaţii de Urgenţă;</w:t>
      </w:r>
    </w:p>
    <w:p w:rsidR="008A0E4D" w:rsidRPr="00652481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es-ES" w:eastAsia="ro-RO"/>
        </w:rPr>
        <w:t>b) Inspectoratului General pentru Situaţii de Urgenţă;</w:t>
      </w:r>
    </w:p>
    <w:p w:rsidR="008A0E4D" w:rsidRPr="00652481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fr-FR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fr-FR" w:eastAsia="ro-RO"/>
        </w:rPr>
        <w:t>c) şefului inspectoratului pentru situaţii de urgenţă judeţean.</w:t>
      </w:r>
    </w:p>
    <w:p w:rsidR="008A0E4D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</w:p>
    <w:p w:rsidR="008A0E4D" w:rsidRPr="00652481" w:rsidRDefault="008A0E4D" w:rsidP="00652481">
      <w:pPr>
        <w:tabs>
          <w:tab w:val="left" w:pos="935"/>
          <w:tab w:val="num" w:pos="1080"/>
          <w:tab w:val="left" w:pos="1800"/>
        </w:tabs>
        <w:autoSpaceDE w:val="0"/>
        <w:autoSpaceDN w:val="0"/>
        <w:adjustRightInd w:val="0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es-ES" w:eastAsia="ro-RO"/>
        </w:rPr>
      </w:pPr>
      <w:r w:rsidRPr="00652481">
        <w:rPr>
          <w:rFonts w:ascii="Times New Roman" w:hAnsi="Times New Roman" w:cs="Times New Roman"/>
          <w:b/>
          <w:bCs/>
          <w:sz w:val="24"/>
          <w:szCs w:val="24"/>
          <w:lang w:val="es-ES" w:eastAsia="ro-RO"/>
        </w:rPr>
        <w:t>15.</w:t>
      </w:r>
      <w:r>
        <w:rPr>
          <w:rFonts w:ascii="Times New Roman" w:hAnsi="Times New Roman" w:cs="Times New Roman"/>
          <w:sz w:val="24"/>
          <w:szCs w:val="24"/>
          <w:lang w:val="es-ES" w:eastAsia="ro-RO"/>
        </w:rPr>
        <w:t xml:space="preserve"> </w:t>
      </w:r>
      <w:r w:rsidRPr="00652481">
        <w:rPr>
          <w:rFonts w:ascii="Times New Roman" w:hAnsi="Times New Roman" w:cs="Times New Roman"/>
          <w:b/>
          <w:bCs/>
          <w:sz w:val="24"/>
          <w:szCs w:val="24"/>
          <w:lang w:val="es-ES" w:eastAsia="ro-RO"/>
        </w:rPr>
        <w:t>Activitatea de evacuare în situaţii de urgenţă se organizează în conformitate cu normele aprobate prin:</w:t>
      </w:r>
    </w:p>
    <w:p w:rsidR="008A0E4D" w:rsidRPr="00652481" w:rsidRDefault="008A0E4D" w:rsidP="00652481">
      <w:pPr>
        <w:tabs>
          <w:tab w:val="left" w:pos="935"/>
          <w:tab w:val="num" w:pos="1080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eastAsia="ro-RO"/>
        </w:rPr>
        <w:t>a) Legea nr. 481/2004;</w:t>
      </w:r>
    </w:p>
    <w:p w:rsidR="008A0E4D" w:rsidRPr="00652481" w:rsidRDefault="008A0E4D" w:rsidP="00652481">
      <w:pPr>
        <w:tabs>
          <w:tab w:val="left" w:pos="935"/>
          <w:tab w:val="num" w:pos="1080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eastAsia="ro-RO"/>
        </w:rPr>
        <w:t>b) OMAI 1184/2006;</w:t>
      </w:r>
    </w:p>
    <w:p w:rsidR="008A0E4D" w:rsidRPr="00652481" w:rsidRDefault="008A0E4D" w:rsidP="00652481">
      <w:pPr>
        <w:tabs>
          <w:tab w:val="left" w:pos="935"/>
          <w:tab w:val="num" w:pos="1080"/>
          <w:tab w:val="left" w:pos="1800"/>
        </w:tabs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  <w:r w:rsidRPr="00652481">
        <w:rPr>
          <w:rFonts w:ascii="Times New Roman" w:hAnsi="Times New Roman" w:cs="Times New Roman"/>
          <w:sz w:val="24"/>
          <w:szCs w:val="24"/>
          <w:lang w:val="es-ES" w:eastAsia="ro-RO"/>
        </w:rPr>
        <w:t>c) OMAI 1259/2006.</w:t>
      </w:r>
    </w:p>
    <w:p w:rsidR="008A0E4D" w:rsidRPr="00652481" w:rsidRDefault="008A0E4D" w:rsidP="00652481">
      <w:pPr>
        <w:tabs>
          <w:tab w:val="left" w:pos="935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 w:eastAsia="ro-RO"/>
        </w:rPr>
      </w:pPr>
    </w:p>
    <w:p w:rsidR="008A0E4D" w:rsidRPr="00652481" w:rsidRDefault="008A0E4D" w:rsidP="00652481">
      <w:pPr>
        <w:tabs>
          <w:tab w:val="left" w:pos="935"/>
          <w:tab w:val="left" w:pos="1800"/>
        </w:tabs>
        <w:spacing w:after="0" w:line="240" w:lineRule="auto"/>
        <w:ind w:firstLine="561"/>
        <w:jc w:val="both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8A0E4D" w:rsidRDefault="008A0E4D" w:rsidP="00CD5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Default="008A0E4D" w:rsidP="00CD5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Default="008A0E4D" w:rsidP="00CD53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Pr="00BB747A" w:rsidRDefault="008A0E4D" w:rsidP="00BB7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B747A">
        <w:rPr>
          <w:rFonts w:ascii="Times New Roman" w:hAnsi="Times New Roman" w:cs="Times New Roman"/>
          <w:b/>
          <w:bCs/>
          <w:sz w:val="24"/>
          <w:szCs w:val="24"/>
        </w:rPr>
        <w:t>GRILA CORECTARE TEST NR. 3 – LICEU</w:t>
      </w:r>
    </w:p>
    <w:p w:rsidR="008A0E4D" w:rsidRPr="00BB747A" w:rsidRDefault="008A0E4D" w:rsidP="00CD535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</w:p>
    <w:p w:rsidR="008A0E4D" w:rsidRDefault="008A0E4D" w:rsidP="00970490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</w:p>
    <w:p w:rsidR="008A0E4D" w:rsidRDefault="008A0E4D" w:rsidP="00BB747A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Default="008A0E4D" w:rsidP="00BB747A">
      <w:pPr>
        <w:pStyle w:val="ListParagraph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A0E4D" w:rsidRPr="00970490" w:rsidRDefault="008A0E4D" w:rsidP="00BB747A">
      <w:pPr>
        <w:pStyle w:val="ListParagraph"/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sectPr w:rsidR="008A0E4D" w:rsidRPr="00970490" w:rsidSect="00BB747A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87394"/>
    <w:multiLevelType w:val="hybridMultilevel"/>
    <w:tmpl w:val="A2006C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71307"/>
    <w:multiLevelType w:val="hybridMultilevel"/>
    <w:tmpl w:val="B55E825C"/>
    <w:lvl w:ilvl="0" w:tplc="E84EB8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98C3CB8"/>
    <w:multiLevelType w:val="hybridMultilevel"/>
    <w:tmpl w:val="6B401270"/>
    <w:lvl w:ilvl="0" w:tplc="C4FA34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9F4EEE84">
      <w:start w:val="2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6992657D"/>
    <w:multiLevelType w:val="hybridMultilevel"/>
    <w:tmpl w:val="871E0B4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D92606"/>
    <w:multiLevelType w:val="hybridMultilevel"/>
    <w:tmpl w:val="0994BA88"/>
    <w:lvl w:ilvl="0" w:tplc="041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75DCFF2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7076F6F2">
      <w:start w:val="1"/>
      <w:numFmt w:val="lowerLetter"/>
      <w:lvlText w:val="%3)"/>
      <w:lvlJc w:val="left"/>
      <w:pPr>
        <w:tabs>
          <w:tab w:val="num" w:pos="3060"/>
        </w:tabs>
        <w:ind w:left="3060" w:hanging="360"/>
      </w:pPr>
      <w:rPr>
        <w:rFonts w:ascii="Arial Narrow" w:eastAsia="Times New Roman" w:hAnsi="Arial Narrow" w:hint="default"/>
      </w:rPr>
    </w:lvl>
    <w:lvl w:ilvl="3" w:tplc="90E64624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7AB95250"/>
    <w:multiLevelType w:val="hybridMultilevel"/>
    <w:tmpl w:val="94D41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6F6"/>
    <w:rsid w:val="001412AE"/>
    <w:rsid w:val="00490C7C"/>
    <w:rsid w:val="00652481"/>
    <w:rsid w:val="007866F6"/>
    <w:rsid w:val="007D66DD"/>
    <w:rsid w:val="008A0E4D"/>
    <w:rsid w:val="008D2637"/>
    <w:rsid w:val="00970490"/>
    <w:rsid w:val="009961D0"/>
    <w:rsid w:val="00A92B98"/>
    <w:rsid w:val="00B05050"/>
    <w:rsid w:val="00BB747A"/>
    <w:rsid w:val="00C468BC"/>
    <w:rsid w:val="00CD535C"/>
    <w:rsid w:val="00D94E41"/>
    <w:rsid w:val="00E3109D"/>
    <w:rsid w:val="00E4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E4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866F6"/>
    <w:pPr>
      <w:ind w:left="720"/>
    </w:pPr>
  </w:style>
  <w:style w:type="paragraph" w:styleId="NormalWeb">
    <w:name w:val="Normal (Web)"/>
    <w:basedOn w:val="Normal"/>
    <w:uiPriority w:val="99"/>
    <w:semiHidden/>
    <w:rsid w:val="00CD535C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CD535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535C"/>
  </w:style>
  <w:style w:type="paragraph" w:styleId="BodyTextIndent3">
    <w:name w:val="Body Text Indent 3"/>
    <w:basedOn w:val="Normal"/>
    <w:link w:val="BodyTextIndent3Char"/>
    <w:uiPriority w:val="99"/>
    <w:rsid w:val="006524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52481"/>
    <w:rPr>
      <w:rFonts w:ascii="Times New Roman" w:hAnsi="Times New Roman" w:cs="Times New Roman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3</Pages>
  <Words>738</Words>
  <Characters>4213</Characters>
  <Application>Microsoft Office Outlook</Application>
  <DocSecurity>0</DocSecurity>
  <Lines>0</Lines>
  <Paragraphs>0</Paragraphs>
  <ScaleCrop>false</ScaleCrop>
  <Company>ISUJ CV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Dumitrascu Simona</dc:creator>
  <cp:keywords/>
  <dc:description/>
  <cp:lastModifiedBy>alida aprodu</cp:lastModifiedBy>
  <cp:revision>6</cp:revision>
  <cp:lastPrinted>2017-05-23T10:40:00Z</cp:lastPrinted>
  <dcterms:created xsi:type="dcterms:W3CDTF">2017-05-19T05:47:00Z</dcterms:created>
  <dcterms:modified xsi:type="dcterms:W3CDTF">2017-05-23T10:40:00Z</dcterms:modified>
</cp:coreProperties>
</file>